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15"/>
        <w:tblW w:w="9923" w:type="dxa"/>
        <w:tblLayout w:type="fixed"/>
        <w:tblLook w:val="04A0" w:firstRow="1" w:lastRow="0" w:firstColumn="1" w:lastColumn="0" w:noHBand="0" w:noVBand="1"/>
      </w:tblPr>
      <w:tblGrid>
        <w:gridCol w:w="851"/>
        <w:gridCol w:w="1985"/>
        <w:gridCol w:w="2268"/>
        <w:gridCol w:w="140"/>
        <w:gridCol w:w="1560"/>
        <w:gridCol w:w="568"/>
        <w:gridCol w:w="991"/>
        <w:gridCol w:w="1560"/>
      </w:tblGrid>
      <w:tr w:rsidR="0059063B" w14:paraId="68F5027C" w14:textId="77777777" w:rsidTr="0059063B">
        <w:trPr>
          <w:trHeight w:val="883"/>
        </w:trPr>
        <w:tc>
          <w:tcPr>
            <w:tcW w:w="851" w:type="dxa"/>
            <w:vMerge w:val="restart"/>
            <w:textDirection w:val="btLr"/>
          </w:tcPr>
          <w:p w14:paraId="275663AC" w14:textId="77777777" w:rsidR="0059063B" w:rsidRDefault="0059063B" w:rsidP="0059063B">
            <w:pPr>
              <w:ind w:left="113" w:right="113"/>
              <w:jc w:val="center"/>
              <w:rPr>
                <w:sz w:val="24"/>
                <w:szCs w:val="24"/>
              </w:rPr>
            </w:pPr>
            <w:r>
              <w:rPr>
                <w:sz w:val="24"/>
                <w:szCs w:val="24"/>
              </w:rPr>
              <w:t>Intent</w:t>
            </w:r>
          </w:p>
        </w:tc>
        <w:tc>
          <w:tcPr>
            <w:tcW w:w="1985" w:type="dxa"/>
            <w:shd w:val="clear" w:color="auto" w:fill="BDD6EE" w:themeFill="accent5" w:themeFillTint="66"/>
          </w:tcPr>
          <w:p w14:paraId="383A8378" w14:textId="77777777" w:rsidR="0059063B" w:rsidRPr="00732344" w:rsidRDefault="0059063B" w:rsidP="0059063B">
            <w:pPr>
              <w:jc w:val="center"/>
              <w:rPr>
                <w:b/>
                <w:bCs/>
                <w:sz w:val="28"/>
                <w:szCs w:val="28"/>
              </w:rPr>
            </w:pPr>
            <w:r>
              <w:rPr>
                <w:b/>
                <w:bCs/>
                <w:sz w:val="28"/>
                <w:szCs w:val="28"/>
              </w:rPr>
              <w:t>College Intent</w:t>
            </w:r>
          </w:p>
        </w:tc>
        <w:tc>
          <w:tcPr>
            <w:tcW w:w="7087" w:type="dxa"/>
            <w:gridSpan w:val="6"/>
            <w:shd w:val="clear" w:color="auto" w:fill="BDD6EE" w:themeFill="accent5" w:themeFillTint="66"/>
          </w:tcPr>
          <w:p w14:paraId="37D25F19" w14:textId="77777777" w:rsidR="0059063B" w:rsidRDefault="0059063B" w:rsidP="0059063B">
            <w:r>
              <w:t xml:space="preserve">At St. Martin’s we will develop skills and knowledge our students need for the future so that they can lead fulfilling lives in their long term destinations. </w:t>
            </w:r>
          </w:p>
          <w:p w14:paraId="1C970705" w14:textId="77777777" w:rsidR="0059063B" w:rsidRDefault="0059063B" w:rsidP="0059063B">
            <w:pPr>
              <w:jc w:val="center"/>
            </w:pPr>
          </w:p>
        </w:tc>
      </w:tr>
      <w:tr w:rsidR="0059063B" w14:paraId="4CB73397" w14:textId="77777777" w:rsidTr="0059063B">
        <w:trPr>
          <w:trHeight w:val="974"/>
        </w:trPr>
        <w:tc>
          <w:tcPr>
            <w:tcW w:w="851" w:type="dxa"/>
            <w:vMerge/>
            <w:textDirection w:val="btLr"/>
          </w:tcPr>
          <w:p w14:paraId="1A6D4DAE" w14:textId="77777777" w:rsidR="0059063B" w:rsidRDefault="0059063B" w:rsidP="0059063B">
            <w:pPr>
              <w:ind w:left="113" w:right="113"/>
              <w:jc w:val="center"/>
              <w:rPr>
                <w:sz w:val="24"/>
                <w:szCs w:val="24"/>
              </w:rPr>
            </w:pPr>
          </w:p>
        </w:tc>
        <w:tc>
          <w:tcPr>
            <w:tcW w:w="1985" w:type="dxa"/>
            <w:shd w:val="clear" w:color="auto" w:fill="BDD6EE" w:themeFill="accent5" w:themeFillTint="66"/>
          </w:tcPr>
          <w:p w14:paraId="6E49BEA3" w14:textId="77777777" w:rsidR="0059063B" w:rsidRPr="00732344" w:rsidRDefault="0059063B" w:rsidP="0059063B">
            <w:pPr>
              <w:jc w:val="center"/>
              <w:rPr>
                <w:b/>
                <w:bCs/>
                <w:sz w:val="28"/>
                <w:szCs w:val="28"/>
              </w:rPr>
            </w:pPr>
            <w:r w:rsidRPr="00732344">
              <w:rPr>
                <w:b/>
                <w:bCs/>
                <w:sz w:val="28"/>
                <w:szCs w:val="28"/>
              </w:rPr>
              <w:t xml:space="preserve">Subject </w:t>
            </w:r>
            <w:r>
              <w:rPr>
                <w:b/>
                <w:bCs/>
                <w:sz w:val="28"/>
                <w:szCs w:val="28"/>
              </w:rPr>
              <w:t>Intent</w:t>
            </w:r>
          </w:p>
        </w:tc>
        <w:tc>
          <w:tcPr>
            <w:tcW w:w="7087" w:type="dxa"/>
            <w:gridSpan w:val="6"/>
            <w:shd w:val="clear" w:color="auto" w:fill="BDD6EE" w:themeFill="accent5" w:themeFillTint="66"/>
          </w:tcPr>
          <w:p w14:paraId="1E23566C" w14:textId="77777777" w:rsidR="0059063B" w:rsidRDefault="0059063B" w:rsidP="0059063B">
            <w:pPr>
              <w:jc w:val="center"/>
              <w:rPr>
                <w:sz w:val="24"/>
                <w:szCs w:val="24"/>
              </w:rPr>
            </w:pPr>
            <w:r>
              <w:t>Students increase their understanding of mathematical concepts and basic number skills in order for them to be able to communicate more effectively and live as independently as possible in the future.</w:t>
            </w:r>
          </w:p>
        </w:tc>
      </w:tr>
      <w:tr w:rsidR="0059063B" w14:paraId="51A9C3C5" w14:textId="77777777" w:rsidTr="0059063B">
        <w:trPr>
          <w:trHeight w:val="1259"/>
        </w:trPr>
        <w:tc>
          <w:tcPr>
            <w:tcW w:w="851" w:type="dxa"/>
            <w:vMerge/>
          </w:tcPr>
          <w:p w14:paraId="2B431733" w14:textId="77777777" w:rsidR="0059063B" w:rsidRDefault="0059063B" w:rsidP="0059063B">
            <w:pPr>
              <w:jc w:val="center"/>
              <w:rPr>
                <w:sz w:val="24"/>
                <w:szCs w:val="24"/>
              </w:rPr>
            </w:pPr>
          </w:p>
        </w:tc>
        <w:tc>
          <w:tcPr>
            <w:tcW w:w="1985" w:type="dxa"/>
            <w:shd w:val="clear" w:color="auto" w:fill="BDD6EE" w:themeFill="accent5" w:themeFillTint="66"/>
          </w:tcPr>
          <w:p w14:paraId="47DDD638" w14:textId="77777777" w:rsidR="0059063B" w:rsidRPr="00732344" w:rsidRDefault="0059063B" w:rsidP="0059063B">
            <w:pPr>
              <w:jc w:val="center"/>
              <w:rPr>
                <w:sz w:val="28"/>
                <w:szCs w:val="28"/>
              </w:rPr>
            </w:pPr>
            <w:r w:rsidRPr="00732344">
              <w:rPr>
                <w:b/>
                <w:bCs/>
                <w:sz w:val="28"/>
                <w:szCs w:val="28"/>
              </w:rPr>
              <w:t>Areas of Need</w:t>
            </w:r>
          </w:p>
        </w:tc>
        <w:tc>
          <w:tcPr>
            <w:tcW w:w="2268" w:type="dxa"/>
            <w:shd w:val="clear" w:color="auto" w:fill="BDD6EE" w:themeFill="accent5" w:themeFillTint="66"/>
          </w:tcPr>
          <w:p w14:paraId="24700241" w14:textId="77777777" w:rsidR="0059063B" w:rsidRPr="006436CC" w:rsidRDefault="0059063B" w:rsidP="0059063B">
            <w:pPr>
              <w:jc w:val="center"/>
              <w:rPr>
                <w:b/>
                <w:bCs/>
                <w:sz w:val="28"/>
                <w:szCs w:val="28"/>
              </w:rPr>
            </w:pPr>
            <w:r w:rsidRPr="006436CC">
              <w:rPr>
                <w:b/>
                <w:bCs/>
                <w:sz w:val="28"/>
                <w:szCs w:val="28"/>
              </w:rPr>
              <w:t>Communication</w:t>
            </w:r>
          </w:p>
          <w:p w14:paraId="78133E44" w14:textId="77777777" w:rsidR="0059063B" w:rsidRPr="006436CC" w:rsidRDefault="0059063B" w:rsidP="0059063B">
            <w:pPr>
              <w:jc w:val="center"/>
              <w:rPr>
                <w:sz w:val="24"/>
                <w:szCs w:val="24"/>
              </w:rPr>
            </w:pPr>
            <w:r>
              <w:rPr>
                <w:sz w:val="24"/>
                <w:szCs w:val="24"/>
              </w:rPr>
              <w:t>To ensure students have a functional communication system</w:t>
            </w:r>
          </w:p>
          <w:p w14:paraId="1548C1EC" w14:textId="77777777" w:rsidR="0059063B" w:rsidRPr="006436CC" w:rsidRDefault="0059063B" w:rsidP="0059063B">
            <w:pPr>
              <w:jc w:val="center"/>
              <w:rPr>
                <w:b/>
                <w:bCs/>
                <w:sz w:val="28"/>
                <w:szCs w:val="28"/>
              </w:rPr>
            </w:pPr>
          </w:p>
        </w:tc>
        <w:tc>
          <w:tcPr>
            <w:tcW w:w="2268" w:type="dxa"/>
            <w:gridSpan w:val="3"/>
            <w:shd w:val="clear" w:color="auto" w:fill="BDD6EE" w:themeFill="accent5" w:themeFillTint="66"/>
          </w:tcPr>
          <w:p w14:paraId="23444118" w14:textId="77777777" w:rsidR="0059063B" w:rsidRDefault="0059063B" w:rsidP="0059063B">
            <w:pPr>
              <w:jc w:val="center"/>
              <w:rPr>
                <w:b/>
                <w:bCs/>
                <w:sz w:val="28"/>
                <w:szCs w:val="28"/>
              </w:rPr>
            </w:pPr>
            <w:r w:rsidRPr="006436CC">
              <w:rPr>
                <w:b/>
                <w:bCs/>
                <w:sz w:val="28"/>
                <w:szCs w:val="28"/>
              </w:rPr>
              <w:t>Independence</w:t>
            </w:r>
          </w:p>
          <w:p w14:paraId="0C81FEB4" w14:textId="77777777" w:rsidR="0059063B" w:rsidRPr="006436CC" w:rsidRDefault="0059063B" w:rsidP="0059063B">
            <w:pPr>
              <w:jc w:val="center"/>
              <w:rPr>
                <w:sz w:val="24"/>
                <w:szCs w:val="24"/>
              </w:rPr>
            </w:pPr>
            <w:r w:rsidRPr="006436CC">
              <w:rPr>
                <w:sz w:val="24"/>
                <w:szCs w:val="24"/>
              </w:rPr>
              <w:t xml:space="preserve">To ensure students can be supported by as many people as possible </w:t>
            </w:r>
          </w:p>
        </w:tc>
        <w:tc>
          <w:tcPr>
            <w:tcW w:w="2551" w:type="dxa"/>
            <w:gridSpan w:val="2"/>
            <w:shd w:val="clear" w:color="auto" w:fill="BDD6EE" w:themeFill="accent5" w:themeFillTint="66"/>
          </w:tcPr>
          <w:p w14:paraId="7214EFB7" w14:textId="77777777" w:rsidR="0059063B" w:rsidRDefault="0059063B" w:rsidP="0059063B">
            <w:pPr>
              <w:jc w:val="center"/>
              <w:rPr>
                <w:b/>
                <w:bCs/>
                <w:sz w:val="28"/>
                <w:szCs w:val="28"/>
              </w:rPr>
            </w:pPr>
            <w:r w:rsidRPr="006436CC">
              <w:rPr>
                <w:b/>
                <w:bCs/>
                <w:sz w:val="28"/>
                <w:szCs w:val="28"/>
              </w:rPr>
              <w:t xml:space="preserve">Mental Health </w:t>
            </w:r>
          </w:p>
          <w:p w14:paraId="283D45C1" w14:textId="77777777" w:rsidR="0059063B" w:rsidRPr="006436CC" w:rsidRDefault="0059063B" w:rsidP="0059063B">
            <w:pPr>
              <w:jc w:val="center"/>
              <w:rPr>
                <w:sz w:val="24"/>
                <w:szCs w:val="24"/>
              </w:rPr>
            </w:pPr>
            <w:r w:rsidRPr="006436CC">
              <w:rPr>
                <w:sz w:val="24"/>
                <w:szCs w:val="24"/>
              </w:rPr>
              <w:t>To ensure students have a healthy future</w:t>
            </w:r>
            <w:r>
              <w:rPr>
                <w:sz w:val="24"/>
                <w:szCs w:val="24"/>
              </w:rPr>
              <w:t xml:space="preserve"> including support with their behaviour management </w:t>
            </w:r>
          </w:p>
        </w:tc>
      </w:tr>
      <w:tr w:rsidR="0059063B" w14:paraId="2F5F6EBD" w14:textId="77777777" w:rsidTr="0059063B">
        <w:trPr>
          <w:trHeight w:val="900"/>
        </w:trPr>
        <w:tc>
          <w:tcPr>
            <w:tcW w:w="851" w:type="dxa"/>
            <w:vMerge/>
          </w:tcPr>
          <w:p w14:paraId="78C8416B" w14:textId="77777777" w:rsidR="0059063B" w:rsidRDefault="0059063B" w:rsidP="0059063B">
            <w:pPr>
              <w:jc w:val="center"/>
              <w:rPr>
                <w:sz w:val="24"/>
                <w:szCs w:val="24"/>
              </w:rPr>
            </w:pPr>
          </w:p>
        </w:tc>
        <w:tc>
          <w:tcPr>
            <w:tcW w:w="1985" w:type="dxa"/>
            <w:shd w:val="clear" w:color="auto" w:fill="BDD6EE" w:themeFill="accent5" w:themeFillTint="66"/>
          </w:tcPr>
          <w:p w14:paraId="35829271" w14:textId="77777777" w:rsidR="0059063B" w:rsidRPr="00732344" w:rsidRDefault="0059063B" w:rsidP="0059063B">
            <w:pPr>
              <w:jc w:val="center"/>
              <w:rPr>
                <w:sz w:val="28"/>
                <w:szCs w:val="28"/>
              </w:rPr>
            </w:pPr>
            <w:r w:rsidRPr="00732344">
              <w:rPr>
                <w:b/>
                <w:bCs/>
                <w:sz w:val="28"/>
                <w:szCs w:val="28"/>
              </w:rPr>
              <w:t>Evidence of above</w:t>
            </w:r>
          </w:p>
        </w:tc>
        <w:tc>
          <w:tcPr>
            <w:tcW w:w="7087" w:type="dxa"/>
            <w:gridSpan w:val="6"/>
            <w:shd w:val="clear" w:color="auto" w:fill="BDD6EE" w:themeFill="accent5" w:themeFillTint="66"/>
          </w:tcPr>
          <w:p w14:paraId="6D38DA88" w14:textId="77777777" w:rsidR="0059063B" w:rsidRDefault="0059063B" w:rsidP="0059063B">
            <w:pPr>
              <w:jc w:val="center"/>
              <w:rPr>
                <w:sz w:val="24"/>
                <w:szCs w:val="24"/>
              </w:rPr>
            </w:pPr>
            <w:r>
              <w:rPr>
                <w:sz w:val="24"/>
                <w:szCs w:val="24"/>
              </w:rPr>
              <w:t>EHCP outcomes</w:t>
            </w:r>
          </w:p>
          <w:p w14:paraId="3924794F" w14:textId="3904242E" w:rsidR="0059063B" w:rsidRDefault="001C63DC" w:rsidP="0059063B">
            <w:pPr>
              <w:jc w:val="center"/>
              <w:rPr>
                <w:sz w:val="24"/>
                <w:szCs w:val="24"/>
              </w:rPr>
            </w:pPr>
            <w:r>
              <w:rPr>
                <w:sz w:val="24"/>
                <w:szCs w:val="24"/>
              </w:rPr>
              <w:t>Personal Development</w:t>
            </w:r>
            <w:r w:rsidR="0059063B">
              <w:rPr>
                <w:sz w:val="24"/>
                <w:szCs w:val="24"/>
              </w:rPr>
              <w:t xml:space="preserve"> targets</w:t>
            </w:r>
          </w:p>
          <w:p w14:paraId="474EA6BD" w14:textId="77777777" w:rsidR="0059063B" w:rsidRDefault="0059063B" w:rsidP="0059063B">
            <w:pPr>
              <w:jc w:val="center"/>
              <w:rPr>
                <w:sz w:val="24"/>
                <w:szCs w:val="24"/>
              </w:rPr>
            </w:pPr>
            <w:r>
              <w:rPr>
                <w:sz w:val="24"/>
                <w:szCs w:val="24"/>
              </w:rPr>
              <w:t>Maths targets</w:t>
            </w:r>
          </w:p>
        </w:tc>
      </w:tr>
      <w:tr w:rsidR="0059063B" w14:paraId="262CBEB0" w14:textId="77777777" w:rsidTr="0059063B">
        <w:trPr>
          <w:cantSplit/>
          <w:trHeight w:val="1259"/>
        </w:trPr>
        <w:tc>
          <w:tcPr>
            <w:tcW w:w="851" w:type="dxa"/>
            <w:vMerge w:val="restart"/>
            <w:textDirection w:val="btLr"/>
          </w:tcPr>
          <w:p w14:paraId="7B280679" w14:textId="77777777" w:rsidR="0059063B" w:rsidRDefault="0059063B" w:rsidP="0059063B">
            <w:pPr>
              <w:ind w:left="113" w:right="113"/>
              <w:jc w:val="center"/>
              <w:rPr>
                <w:sz w:val="24"/>
                <w:szCs w:val="24"/>
              </w:rPr>
            </w:pPr>
            <w:r>
              <w:rPr>
                <w:sz w:val="24"/>
                <w:szCs w:val="24"/>
              </w:rPr>
              <w:t xml:space="preserve">Implementation </w:t>
            </w:r>
          </w:p>
        </w:tc>
        <w:tc>
          <w:tcPr>
            <w:tcW w:w="1985" w:type="dxa"/>
            <w:shd w:val="clear" w:color="auto" w:fill="FFD966" w:themeFill="accent4" w:themeFillTint="99"/>
          </w:tcPr>
          <w:p w14:paraId="498D4A8A" w14:textId="77777777" w:rsidR="0059063B" w:rsidRPr="00732344" w:rsidRDefault="0059063B" w:rsidP="0059063B">
            <w:pPr>
              <w:jc w:val="center"/>
              <w:rPr>
                <w:sz w:val="28"/>
                <w:szCs w:val="28"/>
              </w:rPr>
            </w:pPr>
            <w:r w:rsidRPr="00732344">
              <w:rPr>
                <w:b/>
                <w:bCs/>
                <w:sz w:val="28"/>
                <w:szCs w:val="28"/>
              </w:rPr>
              <w:t>Areas of learning</w:t>
            </w:r>
          </w:p>
        </w:tc>
        <w:tc>
          <w:tcPr>
            <w:tcW w:w="7087" w:type="dxa"/>
            <w:gridSpan w:val="6"/>
            <w:shd w:val="clear" w:color="auto" w:fill="FFD966" w:themeFill="accent4" w:themeFillTint="99"/>
          </w:tcPr>
          <w:p w14:paraId="4C717044" w14:textId="77777777" w:rsidR="0059063B" w:rsidRDefault="0059063B" w:rsidP="0059063B">
            <w:pPr>
              <w:jc w:val="center"/>
              <w:rPr>
                <w:sz w:val="24"/>
                <w:szCs w:val="24"/>
              </w:rPr>
            </w:pPr>
            <w:r>
              <w:rPr>
                <w:sz w:val="24"/>
                <w:szCs w:val="24"/>
              </w:rPr>
              <w:t>Maths lessons</w:t>
            </w:r>
          </w:p>
          <w:p w14:paraId="36ECBC44" w14:textId="77777777" w:rsidR="0059063B" w:rsidRDefault="0059063B" w:rsidP="0059063B">
            <w:pPr>
              <w:jc w:val="center"/>
              <w:rPr>
                <w:sz w:val="24"/>
                <w:szCs w:val="24"/>
              </w:rPr>
            </w:pPr>
            <w:r>
              <w:rPr>
                <w:sz w:val="24"/>
                <w:szCs w:val="24"/>
              </w:rPr>
              <w:t>Direct contact with SLT</w:t>
            </w:r>
          </w:p>
          <w:p w14:paraId="32FF5532" w14:textId="77777777" w:rsidR="0059063B" w:rsidRDefault="0059063B" w:rsidP="0059063B">
            <w:pPr>
              <w:jc w:val="center"/>
              <w:rPr>
                <w:sz w:val="24"/>
                <w:szCs w:val="24"/>
              </w:rPr>
            </w:pPr>
            <w:r>
              <w:rPr>
                <w:sz w:val="24"/>
                <w:szCs w:val="24"/>
              </w:rPr>
              <w:t>Indirect SLT input</w:t>
            </w:r>
          </w:p>
          <w:p w14:paraId="08742680" w14:textId="77777777" w:rsidR="0059063B" w:rsidRDefault="0059063B" w:rsidP="0059063B">
            <w:pPr>
              <w:jc w:val="center"/>
              <w:rPr>
                <w:sz w:val="24"/>
                <w:szCs w:val="24"/>
              </w:rPr>
            </w:pPr>
            <w:r>
              <w:rPr>
                <w:sz w:val="24"/>
                <w:szCs w:val="24"/>
              </w:rPr>
              <w:t>Social times</w:t>
            </w:r>
          </w:p>
          <w:p w14:paraId="6AF5ACFA" w14:textId="77777777" w:rsidR="0059063B" w:rsidRDefault="0059063B" w:rsidP="0059063B">
            <w:pPr>
              <w:jc w:val="center"/>
              <w:rPr>
                <w:sz w:val="24"/>
                <w:szCs w:val="24"/>
              </w:rPr>
            </w:pPr>
            <w:r>
              <w:rPr>
                <w:sz w:val="24"/>
                <w:szCs w:val="24"/>
              </w:rPr>
              <w:t>Residential times</w:t>
            </w:r>
          </w:p>
          <w:p w14:paraId="6DF9E0AA" w14:textId="77777777" w:rsidR="0059063B" w:rsidRDefault="0059063B" w:rsidP="0059063B">
            <w:pPr>
              <w:jc w:val="center"/>
              <w:rPr>
                <w:sz w:val="24"/>
                <w:szCs w:val="24"/>
              </w:rPr>
            </w:pPr>
            <w:r>
              <w:rPr>
                <w:sz w:val="24"/>
                <w:szCs w:val="24"/>
              </w:rPr>
              <w:t>Community visits</w:t>
            </w:r>
          </w:p>
        </w:tc>
      </w:tr>
      <w:tr w:rsidR="0059063B" w14:paraId="7FA656A5" w14:textId="77777777" w:rsidTr="0059063B">
        <w:trPr>
          <w:trHeight w:val="804"/>
        </w:trPr>
        <w:tc>
          <w:tcPr>
            <w:tcW w:w="851" w:type="dxa"/>
            <w:vMerge/>
          </w:tcPr>
          <w:p w14:paraId="1D9C3331" w14:textId="77777777" w:rsidR="0059063B" w:rsidRDefault="0059063B" w:rsidP="0059063B">
            <w:pPr>
              <w:jc w:val="center"/>
              <w:rPr>
                <w:sz w:val="24"/>
                <w:szCs w:val="24"/>
              </w:rPr>
            </w:pPr>
          </w:p>
        </w:tc>
        <w:tc>
          <w:tcPr>
            <w:tcW w:w="1985" w:type="dxa"/>
            <w:shd w:val="clear" w:color="auto" w:fill="FFD966" w:themeFill="accent4" w:themeFillTint="99"/>
          </w:tcPr>
          <w:p w14:paraId="0ADC0D7E" w14:textId="1ACC1349" w:rsidR="0059063B" w:rsidRPr="0059063B" w:rsidRDefault="0059063B" w:rsidP="0059063B">
            <w:pPr>
              <w:jc w:val="center"/>
              <w:rPr>
                <w:b/>
                <w:bCs/>
                <w:sz w:val="28"/>
                <w:szCs w:val="28"/>
              </w:rPr>
            </w:pPr>
            <w:r w:rsidRPr="00732344">
              <w:rPr>
                <w:b/>
                <w:bCs/>
                <w:sz w:val="28"/>
                <w:szCs w:val="28"/>
              </w:rPr>
              <w:t>Curriculum areas</w:t>
            </w:r>
          </w:p>
        </w:tc>
        <w:tc>
          <w:tcPr>
            <w:tcW w:w="2408" w:type="dxa"/>
            <w:gridSpan w:val="2"/>
            <w:shd w:val="clear" w:color="auto" w:fill="FFD966" w:themeFill="accent4" w:themeFillTint="99"/>
          </w:tcPr>
          <w:p w14:paraId="36FE506C" w14:textId="77777777" w:rsidR="0059063B" w:rsidRDefault="0059063B" w:rsidP="0059063B">
            <w:pPr>
              <w:jc w:val="center"/>
              <w:rPr>
                <w:sz w:val="24"/>
                <w:szCs w:val="24"/>
              </w:rPr>
            </w:pPr>
            <w:r>
              <w:rPr>
                <w:sz w:val="24"/>
                <w:szCs w:val="24"/>
              </w:rPr>
              <w:t>Number</w:t>
            </w:r>
          </w:p>
        </w:tc>
        <w:tc>
          <w:tcPr>
            <w:tcW w:w="1560" w:type="dxa"/>
            <w:shd w:val="clear" w:color="auto" w:fill="FFD966" w:themeFill="accent4" w:themeFillTint="99"/>
          </w:tcPr>
          <w:p w14:paraId="55601B2C" w14:textId="77777777" w:rsidR="0059063B" w:rsidRDefault="0059063B" w:rsidP="0059063B">
            <w:pPr>
              <w:jc w:val="center"/>
              <w:rPr>
                <w:sz w:val="24"/>
                <w:szCs w:val="24"/>
              </w:rPr>
            </w:pPr>
            <w:r>
              <w:rPr>
                <w:sz w:val="24"/>
                <w:szCs w:val="24"/>
              </w:rPr>
              <w:t>Sorting and sequencing</w:t>
            </w:r>
          </w:p>
        </w:tc>
        <w:tc>
          <w:tcPr>
            <w:tcW w:w="1559" w:type="dxa"/>
            <w:gridSpan w:val="2"/>
            <w:shd w:val="clear" w:color="auto" w:fill="FFD966" w:themeFill="accent4" w:themeFillTint="99"/>
          </w:tcPr>
          <w:p w14:paraId="62FF3BF4" w14:textId="77777777" w:rsidR="0059063B" w:rsidRDefault="0059063B" w:rsidP="0059063B">
            <w:pPr>
              <w:jc w:val="center"/>
              <w:rPr>
                <w:sz w:val="24"/>
                <w:szCs w:val="24"/>
              </w:rPr>
            </w:pPr>
            <w:r>
              <w:rPr>
                <w:sz w:val="24"/>
                <w:szCs w:val="24"/>
              </w:rPr>
              <w:t xml:space="preserve">Money </w:t>
            </w:r>
          </w:p>
        </w:tc>
        <w:tc>
          <w:tcPr>
            <w:tcW w:w="1560" w:type="dxa"/>
            <w:shd w:val="clear" w:color="auto" w:fill="FFD966" w:themeFill="accent4" w:themeFillTint="99"/>
          </w:tcPr>
          <w:p w14:paraId="74ABD8BA" w14:textId="77777777" w:rsidR="0059063B" w:rsidRDefault="0059063B" w:rsidP="0059063B">
            <w:pPr>
              <w:jc w:val="center"/>
              <w:rPr>
                <w:sz w:val="24"/>
                <w:szCs w:val="24"/>
              </w:rPr>
            </w:pPr>
            <w:r>
              <w:rPr>
                <w:sz w:val="24"/>
                <w:szCs w:val="24"/>
              </w:rPr>
              <w:t xml:space="preserve">Measure </w:t>
            </w:r>
          </w:p>
        </w:tc>
      </w:tr>
      <w:tr w:rsidR="0059063B" w14:paraId="7CAA0FA1" w14:textId="77777777" w:rsidTr="0059063B">
        <w:trPr>
          <w:trHeight w:val="1021"/>
        </w:trPr>
        <w:tc>
          <w:tcPr>
            <w:tcW w:w="851" w:type="dxa"/>
            <w:vMerge/>
          </w:tcPr>
          <w:p w14:paraId="2B56FA8B" w14:textId="77777777" w:rsidR="0059063B" w:rsidRDefault="0059063B" w:rsidP="0059063B">
            <w:pPr>
              <w:jc w:val="center"/>
              <w:rPr>
                <w:sz w:val="24"/>
                <w:szCs w:val="24"/>
              </w:rPr>
            </w:pPr>
          </w:p>
        </w:tc>
        <w:tc>
          <w:tcPr>
            <w:tcW w:w="1985" w:type="dxa"/>
            <w:shd w:val="clear" w:color="auto" w:fill="FFD966" w:themeFill="accent4" w:themeFillTint="99"/>
          </w:tcPr>
          <w:p w14:paraId="42D6710D" w14:textId="77777777" w:rsidR="0059063B" w:rsidRPr="00732344" w:rsidRDefault="0059063B" w:rsidP="0059063B">
            <w:pPr>
              <w:jc w:val="center"/>
              <w:rPr>
                <w:sz w:val="28"/>
                <w:szCs w:val="28"/>
              </w:rPr>
            </w:pPr>
            <w:r w:rsidRPr="00732344">
              <w:rPr>
                <w:b/>
                <w:bCs/>
                <w:sz w:val="28"/>
                <w:szCs w:val="28"/>
              </w:rPr>
              <w:t>Evidence of above</w:t>
            </w:r>
          </w:p>
        </w:tc>
        <w:tc>
          <w:tcPr>
            <w:tcW w:w="7087" w:type="dxa"/>
            <w:gridSpan w:val="6"/>
            <w:shd w:val="clear" w:color="auto" w:fill="FFD966" w:themeFill="accent4" w:themeFillTint="99"/>
          </w:tcPr>
          <w:p w14:paraId="37BBCF4C" w14:textId="77777777" w:rsidR="0059063B" w:rsidRDefault="0059063B" w:rsidP="0059063B">
            <w:pPr>
              <w:jc w:val="center"/>
              <w:rPr>
                <w:sz w:val="24"/>
                <w:szCs w:val="24"/>
              </w:rPr>
            </w:pPr>
            <w:r>
              <w:rPr>
                <w:sz w:val="24"/>
                <w:szCs w:val="24"/>
              </w:rPr>
              <w:t>EHCP outcomes</w:t>
            </w:r>
          </w:p>
          <w:p w14:paraId="3B0C6CB4" w14:textId="6E311ABB" w:rsidR="0059063B" w:rsidRDefault="001C63DC" w:rsidP="0059063B">
            <w:pPr>
              <w:jc w:val="center"/>
              <w:rPr>
                <w:sz w:val="24"/>
                <w:szCs w:val="24"/>
              </w:rPr>
            </w:pPr>
            <w:r>
              <w:rPr>
                <w:sz w:val="24"/>
                <w:szCs w:val="24"/>
              </w:rPr>
              <w:t>Personal D</w:t>
            </w:r>
            <w:r w:rsidR="0059063B">
              <w:rPr>
                <w:sz w:val="24"/>
                <w:szCs w:val="24"/>
              </w:rPr>
              <w:t>evelopment targets</w:t>
            </w:r>
          </w:p>
          <w:p w14:paraId="66B303EA" w14:textId="77777777" w:rsidR="0059063B" w:rsidRDefault="0059063B" w:rsidP="0059063B">
            <w:pPr>
              <w:jc w:val="center"/>
              <w:rPr>
                <w:sz w:val="24"/>
                <w:szCs w:val="24"/>
              </w:rPr>
            </w:pPr>
            <w:r>
              <w:rPr>
                <w:sz w:val="24"/>
                <w:szCs w:val="24"/>
              </w:rPr>
              <w:t>Maths targets</w:t>
            </w:r>
          </w:p>
        </w:tc>
      </w:tr>
      <w:tr w:rsidR="0059063B" w14:paraId="2AE4B102" w14:textId="77777777" w:rsidTr="0059063B">
        <w:trPr>
          <w:trHeight w:val="1259"/>
        </w:trPr>
        <w:tc>
          <w:tcPr>
            <w:tcW w:w="851" w:type="dxa"/>
            <w:vMerge w:val="restart"/>
            <w:textDirection w:val="btLr"/>
          </w:tcPr>
          <w:p w14:paraId="23269BB6" w14:textId="77777777" w:rsidR="0059063B" w:rsidRDefault="0059063B" w:rsidP="0059063B">
            <w:pPr>
              <w:ind w:left="113" w:right="113"/>
              <w:jc w:val="center"/>
              <w:rPr>
                <w:sz w:val="24"/>
                <w:szCs w:val="24"/>
              </w:rPr>
            </w:pPr>
            <w:r>
              <w:rPr>
                <w:sz w:val="24"/>
                <w:szCs w:val="24"/>
              </w:rPr>
              <w:t>Impact</w:t>
            </w:r>
          </w:p>
        </w:tc>
        <w:tc>
          <w:tcPr>
            <w:tcW w:w="1985" w:type="dxa"/>
            <w:shd w:val="clear" w:color="auto" w:fill="A8D08D" w:themeFill="accent6" w:themeFillTint="99"/>
          </w:tcPr>
          <w:p w14:paraId="1B30514A" w14:textId="77777777" w:rsidR="0059063B" w:rsidRPr="00732344" w:rsidRDefault="0059063B" w:rsidP="0059063B">
            <w:pPr>
              <w:jc w:val="center"/>
              <w:rPr>
                <w:b/>
                <w:bCs/>
                <w:sz w:val="28"/>
                <w:szCs w:val="28"/>
              </w:rPr>
            </w:pPr>
            <w:r w:rsidRPr="00732344">
              <w:rPr>
                <w:b/>
                <w:bCs/>
                <w:sz w:val="28"/>
                <w:szCs w:val="28"/>
              </w:rPr>
              <w:t>Assessment type</w:t>
            </w:r>
          </w:p>
        </w:tc>
        <w:tc>
          <w:tcPr>
            <w:tcW w:w="2268" w:type="dxa"/>
            <w:shd w:val="clear" w:color="auto" w:fill="A8D08D" w:themeFill="accent6" w:themeFillTint="99"/>
          </w:tcPr>
          <w:p w14:paraId="27AB31E4" w14:textId="77777777" w:rsidR="0059063B" w:rsidRDefault="0059063B" w:rsidP="0059063B">
            <w:pPr>
              <w:jc w:val="center"/>
              <w:rPr>
                <w:sz w:val="24"/>
                <w:szCs w:val="24"/>
              </w:rPr>
            </w:pPr>
            <w:r>
              <w:rPr>
                <w:sz w:val="24"/>
                <w:szCs w:val="24"/>
              </w:rPr>
              <w:t>RARPA</w:t>
            </w:r>
          </w:p>
          <w:p w14:paraId="6DA5BF88" w14:textId="77777777" w:rsidR="0059063B" w:rsidRDefault="0059063B" w:rsidP="0059063B">
            <w:pPr>
              <w:jc w:val="center"/>
              <w:rPr>
                <w:sz w:val="24"/>
                <w:szCs w:val="24"/>
              </w:rPr>
            </w:pPr>
            <w:r>
              <w:rPr>
                <w:sz w:val="24"/>
                <w:szCs w:val="24"/>
              </w:rPr>
              <w:t>ASDAN personal progress units</w:t>
            </w:r>
          </w:p>
          <w:p w14:paraId="0AB1BE18" w14:textId="77777777" w:rsidR="0059063B" w:rsidRDefault="0059063B" w:rsidP="0059063B">
            <w:pPr>
              <w:jc w:val="center"/>
              <w:rPr>
                <w:sz w:val="24"/>
                <w:szCs w:val="24"/>
              </w:rPr>
            </w:pPr>
            <w:r>
              <w:rPr>
                <w:sz w:val="24"/>
                <w:szCs w:val="24"/>
              </w:rPr>
              <w:t>PLTPs</w:t>
            </w:r>
          </w:p>
        </w:tc>
        <w:tc>
          <w:tcPr>
            <w:tcW w:w="2268" w:type="dxa"/>
            <w:gridSpan w:val="3"/>
            <w:shd w:val="clear" w:color="auto" w:fill="A8D08D" w:themeFill="accent6" w:themeFillTint="99"/>
          </w:tcPr>
          <w:p w14:paraId="5FD65198" w14:textId="77777777" w:rsidR="0059063B" w:rsidRDefault="0059063B" w:rsidP="0059063B">
            <w:pPr>
              <w:jc w:val="center"/>
              <w:rPr>
                <w:sz w:val="24"/>
                <w:szCs w:val="24"/>
              </w:rPr>
            </w:pPr>
            <w:r>
              <w:rPr>
                <w:sz w:val="24"/>
                <w:szCs w:val="24"/>
              </w:rPr>
              <w:t>Personal development targets</w:t>
            </w:r>
          </w:p>
        </w:tc>
        <w:tc>
          <w:tcPr>
            <w:tcW w:w="2551" w:type="dxa"/>
            <w:gridSpan w:val="2"/>
            <w:shd w:val="clear" w:color="auto" w:fill="A8D08D" w:themeFill="accent6" w:themeFillTint="99"/>
          </w:tcPr>
          <w:p w14:paraId="3C051ADF" w14:textId="77777777" w:rsidR="0059063B" w:rsidRDefault="0059063B" w:rsidP="0059063B">
            <w:pPr>
              <w:jc w:val="center"/>
              <w:rPr>
                <w:sz w:val="24"/>
                <w:szCs w:val="24"/>
              </w:rPr>
            </w:pPr>
            <w:r>
              <w:rPr>
                <w:sz w:val="24"/>
                <w:szCs w:val="24"/>
              </w:rPr>
              <w:t>Parent feedback</w:t>
            </w:r>
          </w:p>
        </w:tc>
      </w:tr>
      <w:tr w:rsidR="0059063B" w14:paraId="35220F48" w14:textId="77777777" w:rsidTr="0059063B">
        <w:trPr>
          <w:trHeight w:val="1259"/>
        </w:trPr>
        <w:tc>
          <w:tcPr>
            <w:tcW w:w="851" w:type="dxa"/>
            <w:vMerge/>
          </w:tcPr>
          <w:p w14:paraId="226764F5" w14:textId="77777777" w:rsidR="0059063B" w:rsidRDefault="0059063B" w:rsidP="0059063B">
            <w:pPr>
              <w:jc w:val="center"/>
              <w:rPr>
                <w:sz w:val="24"/>
                <w:szCs w:val="24"/>
              </w:rPr>
            </w:pPr>
          </w:p>
        </w:tc>
        <w:tc>
          <w:tcPr>
            <w:tcW w:w="1985" w:type="dxa"/>
            <w:shd w:val="clear" w:color="auto" w:fill="A8D08D" w:themeFill="accent6" w:themeFillTint="99"/>
          </w:tcPr>
          <w:p w14:paraId="7398CC90" w14:textId="77777777" w:rsidR="0059063B" w:rsidRPr="00732344" w:rsidRDefault="0059063B" w:rsidP="0059063B">
            <w:pPr>
              <w:jc w:val="center"/>
              <w:rPr>
                <w:b/>
                <w:bCs/>
                <w:sz w:val="28"/>
                <w:szCs w:val="28"/>
              </w:rPr>
            </w:pPr>
            <w:r w:rsidRPr="00732344">
              <w:rPr>
                <w:b/>
                <w:bCs/>
                <w:sz w:val="28"/>
                <w:szCs w:val="28"/>
              </w:rPr>
              <w:t>Evidence of above</w:t>
            </w:r>
          </w:p>
        </w:tc>
        <w:tc>
          <w:tcPr>
            <w:tcW w:w="2268" w:type="dxa"/>
            <w:shd w:val="clear" w:color="auto" w:fill="A8D08D" w:themeFill="accent6" w:themeFillTint="99"/>
          </w:tcPr>
          <w:p w14:paraId="47ECAE0B" w14:textId="77777777" w:rsidR="0059063B" w:rsidRDefault="0059063B" w:rsidP="0059063B">
            <w:pPr>
              <w:jc w:val="center"/>
              <w:rPr>
                <w:sz w:val="24"/>
                <w:szCs w:val="24"/>
              </w:rPr>
            </w:pPr>
            <w:r>
              <w:rPr>
                <w:sz w:val="24"/>
                <w:szCs w:val="24"/>
              </w:rPr>
              <w:t>Work folder</w:t>
            </w:r>
          </w:p>
          <w:p w14:paraId="1C6AB1DE" w14:textId="59EE536D" w:rsidR="0059063B" w:rsidRDefault="0059063B" w:rsidP="00A54EC0">
            <w:pPr>
              <w:jc w:val="center"/>
              <w:rPr>
                <w:sz w:val="24"/>
                <w:szCs w:val="24"/>
              </w:rPr>
            </w:pPr>
            <w:r>
              <w:rPr>
                <w:sz w:val="24"/>
                <w:szCs w:val="24"/>
              </w:rPr>
              <w:t>Completed ASDAN personal progress units</w:t>
            </w:r>
          </w:p>
        </w:tc>
        <w:tc>
          <w:tcPr>
            <w:tcW w:w="2268" w:type="dxa"/>
            <w:gridSpan w:val="3"/>
            <w:shd w:val="clear" w:color="auto" w:fill="A8D08D" w:themeFill="accent6" w:themeFillTint="99"/>
          </w:tcPr>
          <w:p w14:paraId="44364B45" w14:textId="77777777" w:rsidR="0059063B" w:rsidRDefault="0059063B" w:rsidP="0059063B">
            <w:pPr>
              <w:jc w:val="center"/>
              <w:rPr>
                <w:sz w:val="24"/>
                <w:szCs w:val="24"/>
              </w:rPr>
            </w:pPr>
            <w:r>
              <w:t>PD File/ books/PLTPs</w:t>
            </w:r>
          </w:p>
          <w:p w14:paraId="71F263B0" w14:textId="77777777" w:rsidR="0059063B" w:rsidRDefault="0059063B" w:rsidP="0059063B">
            <w:pPr>
              <w:rPr>
                <w:sz w:val="24"/>
                <w:szCs w:val="24"/>
              </w:rPr>
            </w:pPr>
          </w:p>
          <w:p w14:paraId="7AE75E08" w14:textId="77777777" w:rsidR="0059063B" w:rsidRPr="00732344" w:rsidRDefault="0059063B" w:rsidP="0059063B">
            <w:pPr>
              <w:jc w:val="center"/>
              <w:rPr>
                <w:sz w:val="24"/>
                <w:szCs w:val="24"/>
              </w:rPr>
            </w:pPr>
          </w:p>
        </w:tc>
        <w:tc>
          <w:tcPr>
            <w:tcW w:w="2551" w:type="dxa"/>
            <w:gridSpan w:val="2"/>
            <w:shd w:val="clear" w:color="auto" w:fill="A8D08D" w:themeFill="accent6" w:themeFillTint="99"/>
          </w:tcPr>
          <w:p w14:paraId="190F45EE" w14:textId="77777777" w:rsidR="0059063B" w:rsidRDefault="0059063B" w:rsidP="0059063B">
            <w:pPr>
              <w:jc w:val="center"/>
              <w:rPr>
                <w:sz w:val="24"/>
                <w:szCs w:val="24"/>
              </w:rPr>
            </w:pPr>
            <w:r>
              <w:t>Parent carer feedback folder</w:t>
            </w:r>
          </w:p>
          <w:p w14:paraId="79FA7A06" w14:textId="77777777" w:rsidR="0059063B" w:rsidRDefault="0059063B" w:rsidP="0059063B">
            <w:pPr>
              <w:rPr>
                <w:sz w:val="24"/>
                <w:szCs w:val="24"/>
              </w:rPr>
            </w:pPr>
          </w:p>
          <w:p w14:paraId="19282BB9" w14:textId="77777777" w:rsidR="0059063B" w:rsidRPr="00732344" w:rsidRDefault="0059063B" w:rsidP="0059063B">
            <w:pPr>
              <w:ind w:firstLine="720"/>
              <w:rPr>
                <w:sz w:val="24"/>
                <w:szCs w:val="24"/>
              </w:rPr>
            </w:pPr>
          </w:p>
        </w:tc>
      </w:tr>
      <w:tr w:rsidR="0059063B" w14:paraId="11F5E523" w14:textId="77777777" w:rsidTr="0059063B">
        <w:trPr>
          <w:trHeight w:val="1259"/>
        </w:trPr>
        <w:tc>
          <w:tcPr>
            <w:tcW w:w="851" w:type="dxa"/>
            <w:vMerge/>
          </w:tcPr>
          <w:p w14:paraId="76B10409" w14:textId="77777777" w:rsidR="0059063B" w:rsidRDefault="0059063B" w:rsidP="0059063B">
            <w:pPr>
              <w:jc w:val="center"/>
              <w:rPr>
                <w:sz w:val="24"/>
                <w:szCs w:val="24"/>
              </w:rPr>
            </w:pPr>
          </w:p>
        </w:tc>
        <w:tc>
          <w:tcPr>
            <w:tcW w:w="1985" w:type="dxa"/>
            <w:shd w:val="clear" w:color="auto" w:fill="A8D08D" w:themeFill="accent6" w:themeFillTint="99"/>
          </w:tcPr>
          <w:p w14:paraId="7FF4C706" w14:textId="77777777" w:rsidR="0059063B" w:rsidRPr="00D93EB4" w:rsidRDefault="0059063B" w:rsidP="0059063B">
            <w:pPr>
              <w:jc w:val="center"/>
              <w:rPr>
                <w:b/>
                <w:bCs/>
                <w:sz w:val="28"/>
                <w:szCs w:val="28"/>
              </w:rPr>
            </w:pPr>
            <w:r w:rsidRPr="00D93EB4">
              <w:rPr>
                <w:b/>
                <w:bCs/>
                <w:sz w:val="28"/>
                <w:szCs w:val="28"/>
              </w:rPr>
              <w:t>Accountability and monitoring</w:t>
            </w:r>
          </w:p>
        </w:tc>
        <w:tc>
          <w:tcPr>
            <w:tcW w:w="2268" w:type="dxa"/>
            <w:shd w:val="clear" w:color="auto" w:fill="A8D08D" w:themeFill="accent6" w:themeFillTint="99"/>
          </w:tcPr>
          <w:p w14:paraId="6C8437D3" w14:textId="77777777" w:rsidR="0059063B" w:rsidRDefault="0059063B" w:rsidP="0059063B">
            <w:r>
              <w:t xml:space="preserve">-Termly progress </w:t>
            </w:r>
          </w:p>
          <w:p w14:paraId="275E833A" w14:textId="77777777" w:rsidR="0059063B" w:rsidRDefault="0059063B" w:rsidP="0059063B">
            <w:r>
              <w:t xml:space="preserve">  review with Assistant </w:t>
            </w:r>
          </w:p>
          <w:p w14:paraId="6C856D80" w14:textId="77777777" w:rsidR="003C1E22" w:rsidRDefault="0059063B" w:rsidP="0059063B">
            <w:r>
              <w:t xml:space="preserve">  Vice Principal </w:t>
            </w:r>
            <w:r w:rsidR="003C1E22">
              <w:t xml:space="preserve">St   </w:t>
            </w:r>
          </w:p>
          <w:p w14:paraId="78FA4F9E" w14:textId="77777777" w:rsidR="003C1E22" w:rsidRDefault="003C1E22" w:rsidP="0059063B">
            <w:r>
              <w:t xml:space="preserve">  Martin’s</w:t>
            </w:r>
          </w:p>
          <w:p w14:paraId="1108FDB7" w14:textId="25243462" w:rsidR="0059063B" w:rsidRDefault="0059063B" w:rsidP="0059063B">
            <w:r>
              <w:t xml:space="preserve"> (Curriculum Lead) </w:t>
            </w:r>
          </w:p>
          <w:p w14:paraId="20FA2189" w14:textId="77777777" w:rsidR="0059063B" w:rsidRDefault="0059063B" w:rsidP="0059063B">
            <w:r>
              <w:t>- RARPA course review</w:t>
            </w:r>
          </w:p>
          <w:p w14:paraId="14C52261" w14:textId="521272C1" w:rsidR="0059063B" w:rsidRPr="00A54EC0" w:rsidRDefault="00A54EC0" w:rsidP="0059063B">
            <w:r>
              <w:t>- M</w:t>
            </w:r>
            <w:r w:rsidR="0059063B">
              <w:t>onitoring of</w:t>
            </w:r>
            <w:r>
              <w:t xml:space="preserve"> </w:t>
            </w:r>
            <w:bookmarkStart w:id="0" w:name="_GoBack"/>
            <w:bookmarkEnd w:id="0"/>
            <w:r w:rsidR="0059063B">
              <w:t>PLTPs</w:t>
            </w:r>
          </w:p>
        </w:tc>
        <w:tc>
          <w:tcPr>
            <w:tcW w:w="2268" w:type="dxa"/>
            <w:gridSpan w:val="3"/>
            <w:shd w:val="clear" w:color="auto" w:fill="A8D08D" w:themeFill="accent6" w:themeFillTint="99"/>
          </w:tcPr>
          <w:p w14:paraId="69C492E4" w14:textId="77777777" w:rsidR="0059063B" w:rsidRDefault="0059063B" w:rsidP="0059063B">
            <w:pPr>
              <w:jc w:val="center"/>
              <w:rPr>
                <w:sz w:val="24"/>
                <w:szCs w:val="24"/>
              </w:rPr>
            </w:pPr>
            <w:r>
              <w:t>Termly MDT meetings to monitor progress</w:t>
            </w:r>
          </w:p>
        </w:tc>
        <w:tc>
          <w:tcPr>
            <w:tcW w:w="2551" w:type="dxa"/>
            <w:gridSpan w:val="2"/>
            <w:shd w:val="clear" w:color="auto" w:fill="A8D08D" w:themeFill="accent6" w:themeFillTint="99"/>
          </w:tcPr>
          <w:p w14:paraId="354422C0" w14:textId="77777777" w:rsidR="0059063B" w:rsidRDefault="0059063B" w:rsidP="0059063B">
            <w:pPr>
              <w:jc w:val="center"/>
              <w:rPr>
                <w:sz w:val="24"/>
                <w:szCs w:val="24"/>
              </w:rPr>
            </w:pPr>
            <w:r>
              <w:rPr>
                <w:sz w:val="24"/>
                <w:szCs w:val="24"/>
              </w:rPr>
              <w:t>NA</w:t>
            </w:r>
          </w:p>
        </w:tc>
      </w:tr>
    </w:tbl>
    <w:p w14:paraId="676C524E" w14:textId="4A643DDB" w:rsidR="00136DBB" w:rsidRDefault="00136DBB"/>
    <w:sectPr w:rsidR="00136DBB" w:rsidSect="00D93EB4">
      <w:headerReference w:type="default" r:id="rId6"/>
      <w:footerReference w:type="default" r:id="rId7"/>
      <w:pgSz w:w="11906" w:h="16838"/>
      <w:pgMar w:top="1440" w:right="1440" w:bottom="567"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31F2A" w14:textId="77777777" w:rsidR="00A92893" w:rsidRDefault="00A92893" w:rsidP="00A92893">
      <w:pPr>
        <w:spacing w:after="0" w:line="240" w:lineRule="auto"/>
      </w:pPr>
      <w:r>
        <w:separator/>
      </w:r>
    </w:p>
  </w:endnote>
  <w:endnote w:type="continuationSeparator" w:id="0">
    <w:p w14:paraId="167B4DB7" w14:textId="77777777" w:rsidR="00A92893" w:rsidRDefault="00A92893" w:rsidP="00A9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B1B37" w14:textId="40341A18" w:rsidR="00A92893" w:rsidRDefault="00A92893">
    <w:pPr>
      <w:pStyle w:val="Footer"/>
    </w:pPr>
  </w:p>
  <w:p w14:paraId="4E321E64" w14:textId="77777777" w:rsidR="00A92893" w:rsidRDefault="00A92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24ACC" w14:textId="77777777" w:rsidR="00A92893" w:rsidRDefault="00A92893" w:rsidP="00A92893">
      <w:pPr>
        <w:spacing w:after="0" w:line="240" w:lineRule="auto"/>
      </w:pPr>
      <w:r>
        <w:separator/>
      </w:r>
    </w:p>
  </w:footnote>
  <w:footnote w:type="continuationSeparator" w:id="0">
    <w:p w14:paraId="25A24DE2" w14:textId="77777777" w:rsidR="00A92893" w:rsidRDefault="00A92893" w:rsidP="00A92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4B1C8" w14:textId="6F2ECBA3" w:rsidR="007D6BCC" w:rsidRDefault="008058FD" w:rsidP="007D6BCC">
    <w:pPr>
      <w:pStyle w:val="NoSpacing"/>
    </w:pPr>
    <w:r>
      <w:rPr>
        <w:noProof/>
        <w:lang w:eastAsia="en-GB"/>
      </w:rPr>
      <w:drawing>
        <wp:inline distT="0" distB="0" distL="0" distR="0" wp14:anchorId="0E5AA146" wp14:editId="45E9BF4A">
          <wp:extent cx="16643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457200"/>
                  </a:xfrm>
                  <a:prstGeom prst="rect">
                    <a:avLst/>
                  </a:prstGeom>
                  <a:noFill/>
                </pic:spPr>
              </pic:pic>
            </a:graphicData>
          </a:graphic>
        </wp:inline>
      </w:drawing>
    </w:r>
    <w:r>
      <w:tab/>
    </w:r>
    <w:r w:rsidR="007D6BCC">
      <w:t xml:space="preserve">                   </w:t>
    </w:r>
    <w:r w:rsidRPr="000B729D">
      <w:t>St. Martin’s</w:t>
    </w:r>
    <w:r>
      <w:t xml:space="preserve"> </w:t>
    </w:r>
  </w:p>
  <w:p w14:paraId="45ED997A" w14:textId="6C05F42D" w:rsidR="008058FD" w:rsidRDefault="008058FD" w:rsidP="007D6BCC">
    <w:pPr>
      <w:pStyle w:val="NoSpacing"/>
      <w:jc w:val="center"/>
    </w:pPr>
    <w:r w:rsidRPr="000B729D">
      <w:t>Curriculum</w:t>
    </w:r>
    <w:r w:rsidR="007D6BCC">
      <w:t xml:space="preserve"> Overview</w:t>
    </w:r>
  </w:p>
  <w:p w14:paraId="3B7564F3" w14:textId="4380CE69" w:rsidR="007D6BCC" w:rsidRDefault="007D6BCC" w:rsidP="007D6BCC">
    <w:pPr>
      <w:pStyle w:val="NoSpacing"/>
      <w:jc w:val="center"/>
    </w:pPr>
    <w:r>
      <w:t>Pathway B - Maths</w:t>
    </w:r>
  </w:p>
  <w:p w14:paraId="41EB4367" w14:textId="240511B6" w:rsidR="008058FD" w:rsidRPr="008058FD" w:rsidRDefault="008058FD" w:rsidP="008058FD">
    <w:pPr>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BB"/>
    <w:rsid w:val="000F5760"/>
    <w:rsid w:val="00136DBB"/>
    <w:rsid w:val="001C63DC"/>
    <w:rsid w:val="00362C3D"/>
    <w:rsid w:val="003C1E22"/>
    <w:rsid w:val="003F3637"/>
    <w:rsid w:val="004631E8"/>
    <w:rsid w:val="004644C2"/>
    <w:rsid w:val="0059063B"/>
    <w:rsid w:val="00616EE4"/>
    <w:rsid w:val="006436CC"/>
    <w:rsid w:val="00732344"/>
    <w:rsid w:val="007D6BCC"/>
    <w:rsid w:val="008058FD"/>
    <w:rsid w:val="00A54EC0"/>
    <w:rsid w:val="00A92893"/>
    <w:rsid w:val="00BB2557"/>
    <w:rsid w:val="00D93EB4"/>
    <w:rsid w:val="00F42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F1E0"/>
  <w15:chartTrackingRefBased/>
  <w15:docId w15:val="{FF7CD4E9-2009-4ED7-B55B-13133875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893"/>
  </w:style>
  <w:style w:type="paragraph" w:styleId="Footer">
    <w:name w:val="footer"/>
    <w:basedOn w:val="Normal"/>
    <w:link w:val="FooterChar"/>
    <w:uiPriority w:val="99"/>
    <w:unhideWhenUsed/>
    <w:rsid w:val="00A92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893"/>
  </w:style>
  <w:style w:type="paragraph" w:styleId="NoSpacing">
    <w:name w:val="No Spacing"/>
    <w:uiPriority w:val="1"/>
    <w:qFormat/>
    <w:rsid w:val="007D6B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king</dc:creator>
  <cp:keywords/>
  <dc:description/>
  <cp:lastModifiedBy>Jean Bankhead</cp:lastModifiedBy>
  <cp:revision>16</cp:revision>
  <dcterms:created xsi:type="dcterms:W3CDTF">2020-04-02T08:37:00Z</dcterms:created>
  <dcterms:modified xsi:type="dcterms:W3CDTF">2021-08-03T10:07:00Z</dcterms:modified>
</cp:coreProperties>
</file>